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8BBB" w14:textId="77777777" w:rsidR="00577184" w:rsidRDefault="00000000">
      <w:pPr>
        <w:pStyle w:val="Titre1"/>
      </w:pPr>
      <w:r>
        <w:t>Guidance Note – MILIPOL 2025</w:t>
      </w:r>
    </w:p>
    <w:p w14:paraId="70167D0B" w14:textId="77777777" w:rsidR="00577184" w:rsidRDefault="00000000">
      <w:r>
        <w:t>How to comply with the regulatory framework?</w:t>
      </w:r>
    </w:p>
    <w:p w14:paraId="29C7EF6E" w14:textId="77777777" w:rsidR="00577184" w:rsidRDefault="00000000">
      <w:pPr>
        <w:pStyle w:val="Titre2"/>
      </w:pPr>
      <w:r>
        <w:t>1. Identify the nature of the goods displayed</w:t>
      </w:r>
    </w:p>
    <w:p w14:paraId="7639201B" w14:textId="77777777" w:rsidR="00577184" w:rsidRDefault="00000000">
      <w:r>
        <w:t>Among the goods that may be imported or introduced for the exhibition:</w:t>
      </w:r>
    </w:p>
    <w:p w14:paraId="0891A126" w14:textId="77777777" w:rsidR="00577184" w:rsidRDefault="00000000">
      <w:r>
        <w:t>- Military equipment, related items and defense products;</w:t>
      </w:r>
    </w:p>
    <w:p w14:paraId="55DFF3AA" w14:textId="77777777" w:rsidR="00577184" w:rsidRDefault="00000000">
      <w:r>
        <w:t>- So-called “civilian” weapons, their ammunition and parts;</w:t>
      </w:r>
    </w:p>
    <w:p w14:paraId="0B9397D4" w14:textId="77777777" w:rsidR="00577184" w:rsidRDefault="00000000">
      <w:r>
        <w:t>- Products covered by Regulation (EU) 2019/125 (amended) of 16 January 2019 concerning the trade of certain goods that could be used for capital punishment, torture or other cruel, inhuman or degrading treatment;</w:t>
      </w:r>
    </w:p>
    <w:p w14:paraId="3834560A" w14:textId="77777777" w:rsidR="00577184" w:rsidRDefault="00000000">
      <w:r>
        <w:t>- Dual-use goods under Regulation (EU) 2021/821 (amended) of 20 May 2021 establishing the EU regime for export control, brokering, technical assistance, transit and transfers.</w:t>
      </w:r>
    </w:p>
    <w:p w14:paraId="4AD5960C" w14:textId="77777777" w:rsidR="00577184" w:rsidRDefault="00000000">
      <w:pPr>
        <w:pStyle w:val="Titre2"/>
      </w:pPr>
      <w:r>
        <w:t>2. Three possible situations depending on the type of goods</w:t>
      </w:r>
    </w:p>
    <w:p w14:paraId="7EEA3115" w14:textId="77777777" w:rsidR="00577184" w:rsidRDefault="00000000">
      <w:r>
        <w:t>Situations may apply for goods imported or introduced at the exhibition:</w:t>
      </w:r>
    </w:p>
    <w:p w14:paraId="7969F3F4" w14:textId="77777777" w:rsidR="00577184" w:rsidRDefault="00000000">
      <w:r>
        <w:t>- Importation / Introduction</w:t>
      </w:r>
    </w:p>
    <w:p w14:paraId="70C0C542" w14:textId="77777777" w:rsidR="00577184" w:rsidRDefault="00000000">
      <w:r>
        <w:t>- Re-exportation / Re-shipment</w:t>
      </w:r>
    </w:p>
    <w:p w14:paraId="2E5C6B4A" w14:textId="77777777" w:rsidR="00577184" w:rsidRDefault="00000000">
      <w:r>
        <w:t>A. Exemptions provided by law for military equipment, defense products, and civilian weapons.</w:t>
      </w:r>
      <w:r>
        <w:br/>
        <w:t xml:space="preserve">   - Send the list of goods displayed to the DGDDI before 27 October 2025.</w:t>
      </w:r>
      <w:r>
        <w:br/>
        <w:t xml:space="preserve">   - Send the list of goods to be re-exported or re-shipped to the DGDDI before 27 October 2025.</w:t>
      </w:r>
    </w:p>
    <w:p w14:paraId="2A8CC888" w14:textId="77777777" w:rsidR="00577184" w:rsidRDefault="00000000">
      <w:r>
        <w:t>B. Exceptional global authorization granted by DGDDI for civilian weapons and some military weapons.</w:t>
      </w:r>
      <w:r>
        <w:br/>
        <w:t xml:space="preserve">   - The DGDDI letter serves as authorization.</w:t>
      </w:r>
      <w:r>
        <w:br/>
        <w:t xml:space="preserve">   - Send the list of goods displayed per exhibitor to the DGDDI before 27 October 2025.</w:t>
      </w:r>
    </w:p>
    <w:p w14:paraId="75F5CA4B" w14:textId="77777777" w:rsidR="00577184" w:rsidRDefault="00000000">
      <w:r>
        <w:t>C. An individual authorization must be requested for goods imported/exported to or from countries under trade restrictions, for goods covered by Regulation (EU) 2019/125 (amended), and for dual-use goods covered by Regulation (EU) 2021/821 (amended).</w:t>
      </w:r>
      <w:r>
        <w:br/>
        <w:t xml:space="preserve">   - Contact the competent authority mentioned in the DGDDI letter before importation.</w:t>
      </w:r>
    </w:p>
    <w:p w14:paraId="715E849F" w14:textId="77777777" w:rsidR="00577184" w:rsidRDefault="00000000">
      <w:pPr>
        <w:pStyle w:val="Titre2"/>
      </w:pPr>
      <w:r>
        <w:t>3. Customs regime</w:t>
      </w:r>
    </w:p>
    <w:p w14:paraId="5212BED2" w14:textId="77777777" w:rsidR="00577184" w:rsidRDefault="00000000">
      <w:r>
        <w:t>Goods from non-EU countries must be placed under the customs regime of temporary admission with the customs office responsible for declaring goods flows.</w:t>
      </w:r>
    </w:p>
    <w:p w14:paraId="342F7042" w14:textId="77777777" w:rsidR="00577184" w:rsidRDefault="00000000">
      <w:pPr>
        <w:pStyle w:val="Titre2"/>
      </w:pPr>
      <w:r>
        <w:lastRenderedPageBreak/>
        <w:t>4. Responsibility</w:t>
      </w:r>
    </w:p>
    <w:p w14:paraId="1AF25205" w14:textId="77777777" w:rsidR="00577184" w:rsidRDefault="00000000">
      <w:r>
        <w:t>In all cases, goods displayed remain under the responsibility of the exhibitors and organizers throughout the duration of the event.</w:t>
      </w:r>
    </w:p>
    <w:p w14:paraId="5D414C93" w14:textId="77777777" w:rsidR="00577184" w:rsidRDefault="00000000">
      <w:pPr>
        <w:pStyle w:val="Titre2"/>
      </w:pPr>
      <w:r>
        <w:t>Summary table of authorizations, exemptions or waivers depending on the flows and type of goods</w:t>
      </w:r>
    </w:p>
    <w:p w14:paraId="2D239D89" w14:textId="77777777" w:rsidR="00577184" w:rsidRDefault="00000000">
      <w:r>
        <w:t>Military equipment:</w:t>
      </w:r>
      <w:r>
        <w:br/>
        <w:t>- Import from non-EU country: Exemption (2015 Order, Art. 1-1°) or individual AIMG required</w:t>
      </w:r>
      <w:r>
        <w:br/>
        <w:t>- Re-export to non-EU country: Exemption (2014 Order, Art. 1-c) or individual LEMG required</w:t>
      </w:r>
      <w:r>
        <w:br/>
        <w:t>- From EU: Global AIMG (A2-1° and A2-2°)</w:t>
      </w:r>
      <w:r>
        <w:br/>
        <w:t>- Shipment to EU: Exemption (2014 Order, Art. 2-7°)</w:t>
      </w:r>
    </w:p>
    <w:p w14:paraId="4A5F6D75" w14:textId="77777777" w:rsidR="00577184" w:rsidRDefault="00000000">
      <w:r>
        <w:t>Civilian firearms:</w:t>
      </w:r>
      <w:r>
        <w:br/>
        <w:t>- Import: Exemption (2015 Order, Art. 1-1°) or individual AIMG required</w:t>
      </w:r>
      <w:r>
        <w:br/>
        <w:t>- Re-export: Waiver under CSI R316-47 or individual LEAF required</w:t>
      </w:r>
      <w:r>
        <w:br/>
        <w:t>- From EU: Global prior agreement (AP)</w:t>
      </w:r>
      <w:r>
        <w:br/>
        <w:t>- Shipment to EU: Global transfer permit (PT)</w:t>
      </w:r>
    </w:p>
    <w:p w14:paraId="49F6EF6E" w14:textId="77777777" w:rsidR="00577184" w:rsidRDefault="00000000">
      <w:r>
        <w:t>Non-firearms:</w:t>
      </w:r>
      <w:r>
        <w:br/>
        <w:t>- Import: Exemption (2015 Order, Art. 1-1°) or individual AIMG required</w:t>
      </w:r>
      <w:r>
        <w:br/>
        <w:t>- Re-export: Authorization required under Regulation 2019/125</w:t>
      </w:r>
      <w:r>
        <w:br/>
        <w:t>- From EU: Global AIMG</w:t>
      </w:r>
      <w:r>
        <w:br/>
        <w:t>- Shipment to EU: Free</w:t>
      </w:r>
    </w:p>
    <w:p w14:paraId="214C2535" w14:textId="77777777" w:rsidR="00577184" w:rsidRDefault="00000000">
      <w:r>
        <w:t>Dual-use goods (Reg. 2021/821):</w:t>
      </w:r>
      <w:r>
        <w:br/>
        <w:t>- Import and export within EU: Free</w:t>
      </w:r>
      <w:r>
        <w:br/>
        <w:t>- Export to third countries: License required</w:t>
      </w:r>
      <w:r>
        <w:br/>
        <w:t>- Annex IV goods: License required</w:t>
      </w:r>
    </w:p>
    <w:p w14:paraId="013C185B" w14:textId="77777777" w:rsidR="00577184" w:rsidRDefault="00000000">
      <w:r>
        <w:t>Goods listed in Annex III of Regulation (EU) 2019/125 (anti-torture):</w:t>
      </w:r>
      <w:r>
        <w:br/>
        <w:t>- Import and EU introduction: Free</w:t>
      </w:r>
      <w:r>
        <w:br/>
        <w:t>- Export or re-export: License required</w:t>
      </w:r>
    </w:p>
    <w:p w14:paraId="797F1413" w14:textId="77777777" w:rsidR="00577184" w:rsidRDefault="00000000">
      <w:r>
        <w:t>Notes:</w:t>
      </w:r>
      <w:r>
        <w:br/>
        <w:t>- AIMG = Import Authorization for Military Equipment</w:t>
      </w:r>
      <w:r>
        <w:br/>
        <w:t>- AP = Prior Agreement</w:t>
      </w:r>
      <w:r>
        <w:br/>
        <w:t>- AT = Temporary Admission (customs regime allowing temporary imports without duties, to be re-exported)</w:t>
      </w:r>
      <w:r>
        <w:br/>
        <w:t>- LEMG = Export License for Military Equipment</w:t>
      </w:r>
      <w:r>
        <w:br/>
        <w:t>- LEAF = Export License for Firearms</w:t>
      </w:r>
      <w:r>
        <w:br/>
        <w:t>- PT = Transfer Permit</w:t>
      </w:r>
    </w:p>
    <w:p w14:paraId="1B3225E0" w14:textId="77777777" w:rsidR="00577184" w:rsidRDefault="00000000">
      <w:pPr>
        <w:pStyle w:val="Titre2"/>
      </w:pPr>
      <w:r>
        <w:lastRenderedPageBreak/>
        <w:t>Clarification of overlapping rules (firearms and anti-torture regulation)</w:t>
      </w:r>
    </w:p>
    <w:p w14:paraId="6DE3C2E3" w14:textId="77777777" w:rsidR="00577184" w:rsidRDefault="00000000">
      <w:r>
        <w:t>At import:</w:t>
      </w:r>
      <w:r>
        <w:br/>
        <w:t>Some items listed in Annex III of the anti-torture regulation may also be classified as weapons under the French Internal Security Code (CSI). If so, they do not require authorization under Regulation 2019/125, but if they fall under a category of Article R.311-2 CSI that requires authorization, an AIMG is necessary.</w:t>
      </w:r>
      <w:r>
        <w:br/>
      </w:r>
      <w:r>
        <w:br/>
        <w:t>At export:</w:t>
      </w:r>
      <w:r>
        <w:br/>
        <w:t>Some weapons are free of authorization under Regulation (EU) 258/2012 (not firearms), but still require authorization if they appear in Annex III of Regulation 2019/125 (anti-torture).</w:t>
      </w:r>
    </w:p>
    <w:p w14:paraId="55B8675D" w14:textId="77777777" w:rsidR="00577184" w:rsidRDefault="00000000">
      <w:pPr>
        <w:pStyle w:val="Titre2"/>
      </w:pPr>
      <w:r>
        <w:t>Competent authorities for authorizations</w:t>
      </w:r>
    </w:p>
    <w:p w14:paraId="1E624004" w14:textId="77777777" w:rsidR="00577184" w:rsidRDefault="00000000">
      <w:r>
        <w:t>Applications for import and export authorizations of civilian weapons and military equipment must be sent to:</w:t>
      </w:r>
      <w:r>
        <w:br/>
        <w:t>Service des autorisations de mouvements internationaux d’armes (SAMIA)</w:t>
      </w:r>
      <w:r>
        <w:br/>
        <w:t>11 rue des Deux Communes, 93558 Montreuil CEDEX</w:t>
      </w:r>
      <w:r>
        <w:br/>
        <w:t>Email: samia-armes@douane.finances.gouv.fr</w:t>
      </w:r>
    </w:p>
    <w:p w14:paraId="3A3E9C24" w14:textId="77777777" w:rsidR="00577184" w:rsidRDefault="00000000">
      <w:r>
        <w:t>Applications for export licenses for military equipment must be sent electronically via SIGALE:</w:t>
      </w:r>
      <w:r>
        <w:br/>
        <w:t>https://sigale.defense.gouv.fr</w:t>
      </w:r>
      <w:r>
        <w:br/>
        <w:t>Direction Générale de l’Armement (DGA)</w:t>
      </w:r>
      <w:r>
        <w:br/>
        <w:t>60, bd du général Martial Valin, CS 21623, 75509 Paris Cedex 15</w:t>
      </w:r>
      <w:r>
        <w:br/>
        <w:t>Tel: +33 1 45 52 76 35</w:t>
      </w:r>
    </w:p>
    <w:p w14:paraId="0EF8DDE2" w14:textId="77777777" w:rsidR="00577184" w:rsidRDefault="00000000">
      <w:r>
        <w:t>Applications for export or transfer licenses for dual-use goods or goods covered by the anti-torture regulation must be sent electronically via EGIDE:</w:t>
      </w:r>
      <w:r>
        <w:br/>
        <w:t>https://egide.finances.gouv.fr</w:t>
      </w:r>
      <w:r>
        <w:br/>
        <w:t>Direction Générale des Entreprises – SBDU</w:t>
      </w:r>
      <w:r>
        <w:br/>
        <w:t>67, rue Barbès, BP 80001, 94201 Ivry-sur-Seine Cedex</w:t>
      </w:r>
      <w:r>
        <w:br/>
        <w:t>Email: doublusage@finances.gouv.fr</w:t>
      </w:r>
    </w:p>
    <w:sectPr w:rsidR="005771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305578">
    <w:abstractNumId w:val="8"/>
  </w:num>
  <w:num w:numId="2" w16cid:durableId="1880313322">
    <w:abstractNumId w:val="6"/>
  </w:num>
  <w:num w:numId="3" w16cid:durableId="43455054">
    <w:abstractNumId w:val="5"/>
  </w:num>
  <w:num w:numId="4" w16cid:durableId="46338762">
    <w:abstractNumId w:val="4"/>
  </w:num>
  <w:num w:numId="5" w16cid:durableId="2099866145">
    <w:abstractNumId w:val="7"/>
  </w:num>
  <w:num w:numId="6" w16cid:durableId="2076581900">
    <w:abstractNumId w:val="3"/>
  </w:num>
  <w:num w:numId="7" w16cid:durableId="310641694">
    <w:abstractNumId w:val="2"/>
  </w:num>
  <w:num w:numId="8" w16cid:durableId="1797983744">
    <w:abstractNumId w:val="1"/>
  </w:num>
  <w:num w:numId="9" w16cid:durableId="171554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30A"/>
    <w:rsid w:val="0029639D"/>
    <w:rsid w:val="00326F90"/>
    <w:rsid w:val="005771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D8569"/>
  <w14:defaultImageDpi w14:val="300"/>
  <w15:docId w15:val="{636180F4-8F86-46B4-BB0F-E3BC072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 Guenard</cp:lastModifiedBy>
  <cp:revision>2</cp:revision>
  <dcterms:created xsi:type="dcterms:W3CDTF">2025-09-24T08:17:00Z</dcterms:created>
  <dcterms:modified xsi:type="dcterms:W3CDTF">2025-09-24T08:17:00Z</dcterms:modified>
  <cp:category/>
</cp:coreProperties>
</file>